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C" w:rsidRPr="00283012" w:rsidRDefault="00BF7FBC" w:rsidP="00BF7FBC">
      <w:pPr>
        <w:widowControl/>
        <w:shd w:val="clear" w:color="auto" w:fill="FFFFFF"/>
        <w:tabs>
          <w:tab w:val="left" w:pos="8280"/>
        </w:tabs>
        <w:spacing w:before="100" w:beforeAutospacing="1" w:after="100" w:afterAutospacing="1"/>
        <w:jc w:val="center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28301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核子工程與科學研究所博士班資格考試規定</w:t>
      </w:r>
    </w:p>
    <w:p w:rsidR="00BF7FBC" w:rsidRPr="00283012" w:rsidRDefault="00BF7FBC" w:rsidP="00BF7FBC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6"/>
          <w:attr w:name="Month" w:val="10"/>
          <w:attr w:name="Day" w:val="17"/>
          <w:attr w:name="IsLunarDate" w:val="False"/>
          <w:attr w:name="IsROCDate" w:val="False"/>
        </w:smartTagPr>
        <w:r w:rsidRPr="00283012">
          <w:rPr>
            <w:rFonts w:ascii="標楷體" w:eastAsia="標楷體" w:hAnsi="標楷體" w:cs="新細明體" w:hint="eastAsia"/>
            <w:bCs/>
            <w:kern w:val="0"/>
            <w:sz w:val="20"/>
            <w:szCs w:val="20"/>
          </w:rPr>
          <w:t>96年10月17日</w:t>
        </w:r>
      </w:smartTag>
      <w:r w:rsidRPr="00283012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所</w:t>
      </w:r>
      <w:proofErr w:type="gramStart"/>
      <w:r w:rsidRPr="00283012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283012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會議通過</w:t>
      </w:r>
    </w:p>
    <w:p w:rsidR="00BF7FBC" w:rsidRPr="00283012" w:rsidRDefault="00BF7FBC" w:rsidP="00BF7FBC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5"/>
          <w:attr w:name="Day" w:val="28"/>
          <w:attr w:name="IsLunarDate" w:val="False"/>
          <w:attr w:name="IsROCDate" w:val="False"/>
        </w:smartTagPr>
        <w:r w:rsidRPr="00283012">
          <w:rPr>
            <w:rFonts w:ascii="標楷體" w:eastAsia="標楷體" w:hAnsi="標楷體" w:cs="新細明體" w:hint="eastAsia"/>
            <w:bCs/>
            <w:kern w:val="0"/>
            <w:sz w:val="20"/>
            <w:szCs w:val="20"/>
          </w:rPr>
          <w:t>97年5月28日</w:t>
        </w:r>
      </w:smartTag>
      <w:r w:rsidRPr="00283012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所</w:t>
      </w:r>
      <w:proofErr w:type="gramStart"/>
      <w:r w:rsidRPr="00283012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283012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會議修訂通過</w:t>
      </w:r>
    </w:p>
    <w:p w:rsidR="00BF7FBC" w:rsidRPr="00283012" w:rsidRDefault="00BF7FBC" w:rsidP="00BF7FBC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7"/>
          <w:attr w:name="Day" w:val="23"/>
          <w:attr w:name="IsLunarDate" w:val="False"/>
          <w:attr w:name="IsROCDate" w:val="False"/>
        </w:smartTagPr>
        <w:r w:rsidRPr="00283012">
          <w:rPr>
            <w:rFonts w:ascii="標楷體" w:eastAsia="標楷體" w:hAnsi="標楷體" w:cs="新細明體" w:hint="eastAsia"/>
            <w:bCs/>
            <w:kern w:val="0"/>
            <w:sz w:val="20"/>
            <w:szCs w:val="20"/>
          </w:rPr>
          <w:t>97年7月23日</w:t>
        </w:r>
      </w:smartTag>
      <w:r w:rsidRPr="00283012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所</w:t>
      </w:r>
      <w:proofErr w:type="gramStart"/>
      <w:r w:rsidRPr="00283012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283012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會議修訂通過</w:t>
      </w:r>
    </w:p>
    <w:p w:rsidR="00BF7FBC" w:rsidRPr="007A119A" w:rsidRDefault="00BF7FBC" w:rsidP="00BF7FBC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10"/>
          <w:attr w:name="Day" w:val="08"/>
          <w:attr w:name="IsLunarDate" w:val="False"/>
          <w:attr w:name="IsROCDate" w:val="False"/>
        </w:smartTagPr>
        <w:r w:rsidRPr="007A119A">
          <w:rPr>
            <w:rFonts w:ascii="標楷體" w:eastAsia="標楷體" w:hAnsi="標楷體" w:cs="新細明體" w:hint="eastAsia"/>
            <w:bCs/>
            <w:kern w:val="0"/>
            <w:sz w:val="20"/>
            <w:szCs w:val="20"/>
          </w:rPr>
          <w:t>97年10月08日</w:t>
        </w:r>
      </w:smartTag>
      <w:r w:rsidRPr="007A119A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所</w:t>
      </w:r>
      <w:proofErr w:type="gramStart"/>
      <w:r w:rsidRPr="007A119A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7A119A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會議修訂通過</w:t>
      </w:r>
    </w:p>
    <w:p w:rsidR="00BF7FBC" w:rsidRPr="002C15A0" w:rsidRDefault="00BF7FBC" w:rsidP="00BF7FBC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12"/>
          <w:attr w:name="Day" w:val="24"/>
          <w:attr w:name="IsLunarDate" w:val="False"/>
          <w:attr w:name="IsROCDate" w:val="False"/>
        </w:smartTagPr>
        <w:r w:rsidRPr="002C15A0">
          <w:rPr>
            <w:rFonts w:ascii="標楷體" w:eastAsia="標楷體" w:hAnsi="標楷體" w:cs="新細明體" w:hint="eastAsia"/>
            <w:bCs/>
            <w:kern w:val="0"/>
            <w:sz w:val="20"/>
            <w:szCs w:val="20"/>
          </w:rPr>
          <w:t>97年12月24日</w:t>
        </w:r>
      </w:smartTag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所</w:t>
      </w:r>
      <w:proofErr w:type="gramStart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會議修訂通過</w:t>
      </w:r>
    </w:p>
    <w:p w:rsidR="00BF7FBC" w:rsidRPr="002C15A0" w:rsidRDefault="00BF7FBC" w:rsidP="00BF7FBC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3"/>
          <w:attr w:name="Day" w:val="23"/>
          <w:attr w:name="IsLunarDate" w:val="False"/>
          <w:attr w:name="IsROCDate" w:val="False"/>
        </w:smartTagPr>
        <w:r w:rsidRPr="002C15A0">
          <w:rPr>
            <w:rFonts w:ascii="標楷體" w:eastAsia="標楷體" w:hAnsi="標楷體" w:cs="新細明體" w:hint="eastAsia"/>
            <w:bCs/>
            <w:kern w:val="0"/>
            <w:sz w:val="20"/>
            <w:szCs w:val="20"/>
          </w:rPr>
          <w:t>98年3月23日</w:t>
        </w:r>
      </w:smartTag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所</w:t>
      </w:r>
      <w:proofErr w:type="gramStart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會議修訂通過</w:t>
      </w:r>
    </w:p>
    <w:p w:rsidR="00BB1BD5" w:rsidRPr="002C15A0" w:rsidRDefault="00BB1BD5" w:rsidP="00BF7FBC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100年7月19日</w:t>
      </w:r>
      <w:r w:rsidR="007A119A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所</w:t>
      </w:r>
      <w:proofErr w:type="gramStart"/>
      <w:r w:rsidR="007A119A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="007A119A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</w:t>
      </w:r>
      <w:r w:rsidR="00B45A39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修訂</w:t>
      </w:r>
      <w:r w:rsidR="00170A30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通過</w:t>
      </w:r>
    </w:p>
    <w:p w:rsidR="0022470B" w:rsidRPr="002C15A0" w:rsidRDefault="0022470B" w:rsidP="0022470B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10</w:t>
      </w:r>
      <w:r w:rsidR="00FE0632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2</w:t>
      </w:r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年2月</w:t>
      </w:r>
      <w:r w:rsidR="008E572C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20</w:t>
      </w:r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日所</w:t>
      </w:r>
      <w:proofErr w:type="gramStart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會議修訂</w:t>
      </w:r>
      <w:r w:rsidR="008E572C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通過</w:t>
      </w:r>
    </w:p>
    <w:p w:rsidR="008D1B5D" w:rsidRPr="002C15A0" w:rsidRDefault="008D1B5D" w:rsidP="0022470B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103年3月25日所</w:t>
      </w:r>
      <w:proofErr w:type="gramStart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</w:t>
      </w:r>
      <w:r w:rsidR="00237254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修訂通過</w:t>
      </w:r>
    </w:p>
    <w:p w:rsidR="000A65E4" w:rsidRPr="002C15A0" w:rsidRDefault="000A65E4" w:rsidP="0022470B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104年3月3日所</w:t>
      </w:r>
      <w:proofErr w:type="gramStart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會議修訂</w:t>
      </w:r>
      <w:r w:rsidR="003B16C4"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通過</w:t>
      </w:r>
    </w:p>
    <w:p w:rsidR="00205A9D" w:rsidRPr="002C15A0" w:rsidRDefault="00205A9D" w:rsidP="00205A9D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104年9月30日所</w:t>
      </w:r>
      <w:proofErr w:type="gramStart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2C15A0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會議修訂通過</w:t>
      </w:r>
    </w:p>
    <w:p w:rsidR="003F3A3C" w:rsidRDefault="003F3A3C" w:rsidP="00205A9D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134FC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104年10</w:t>
      </w:r>
      <w:r w:rsidR="00C2010B" w:rsidRPr="00134FC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月</w:t>
      </w:r>
      <w:r w:rsidRPr="00134FC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27日所</w:t>
      </w:r>
      <w:proofErr w:type="gramStart"/>
      <w:r w:rsidRPr="00134FC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務</w:t>
      </w:r>
      <w:proofErr w:type="gramEnd"/>
      <w:r w:rsidRPr="00134FC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會議</w:t>
      </w:r>
      <w:r w:rsidR="00AB02D8" w:rsidRPr="00134FC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通過</w:t>
      </w:r>
    </w:p>
    <w:p w:rsidR="00E007C4" w:rsidRPr="00E007C4" w:rsidRDefault="00E007C4" w:rsidP="00E007C4">
      <w:pPr>
        <w:widowControl/>
        <w:shd w:val="clear" w:color="auto" w:fill="FFFFFF"/>
        <w:jc w:val="right"/>
        <w:outlineLvl w:val="2"/>
        <w:rPr>
          <w:rFonts w:ascii="標楷體" w:eastAsia="標楷體" w:hAnsi="標楷體" w:cs="新細明體"/>
          <w:bCs/>
          <w:kern w:val="0"/>
          <w:sz w:val="20"/>
          <w:szCs w:val="20"/>
          <w:u w:val="single"/>
        </w:rPr>
      </w:pPr>
      <w:r w:rsidRPr="00DF5AE3">
        <w:rPr>
          <w:rFonts w:ascii="標楷體" w:eastAsia="標楷體" w:hAnsi="標楷體" w:cs="新細明體" w:hint="eastAsia"/>
          <w:bCs/>
          <w:kern w:val="0"/>
          <w:sz w:val="20"/>
          <w:szCs w:val="20"/>
          <w:u w:val="single"/>
        </w:rPr>
        <w:t>106年11月15日所</w:t>
      </w:r>
      <w:proofErr w:type="gramStart"/>
      <w:r w:rsidRPr="00DF5AE3">
        <w:rPr>
          <w:rFonts w:ascii="標楷體" w:eastAsia="標楷體" w:hAnsi="標楷體" w:cs="新細明體" w:hint="eastAsia"/>
          <w:bCs/>
          <w:kern w:val="0"/>
          <w:sz w:val="20"/>
          <w:szCs w:val="20"/>
          <w:u w:val="single"/>
        </w:rPr>
        <w:t>務</w:t>
      </w:r>
      <w:proofErr w:type="gramEnd"/>
      <w:r w:rsidRPr="00DF5AE3">
        <w:rPr>
          <w:rFonts w:ascii="標楷體" w:eastAsia="標楷體" w:hAnsi="標楷體" w:cs="新細明體" w:hint="eastAsia"/>
          <w:bCs/>
          <w:kern w:val="0"/>
          <w:sz w:val="20"/>
          <w:szCs w:val="20"/>
          <w:u w:val="single"/>
        </w:rPr>
        <w:t>會議</w:t>
      </w:r>
      <w:r w:rsidR="00600DF0" w:rsidRPr="00DF5AE3">
        <w:rPr>
          <w:rFonts w:ascii="標楷體" w:eastAsia="標楷體" w:hAnsi="標楷體" w:cs="新細明體" w:hint="eastAsia"/>
          <w:bCs/>
          <w:kern w:val="0"/>
          <w:sz w:val="20"/>
          <w:szCs w:val="20"/>
          <w:u w:val="single"/>
        </w:rPr>
        <w:t>通過</w:t>
      </w:r>
    </w:p>
    <w:p w:rsidR="00BF7FBC" w:rsidRPr="002C15A0" w:rsidRDefault="00BF7FBC" w:rsidP="008A454E">
      <w:pPr>
        <w:widowControl/>
        <w:numPr>
          <w:ilvl w:val="0"/>
          <w:numId w:val="1"/>
        </w:numPr>
        <w:shd w:val="clear" w:color="auto" w:fill="FFFFFF"/>
        <w:tabs>
          <w:tab w:val="num" w:pos="480"/>
        </w:tabs>
        <w:spacing w:before="100" w:beforeAutospacing="1" w:after="100" w:afterAutospacing="1"/>
        <w:ind w:left="0" w:firstLine="0"/>
        <w:rPr>
          <w:rFonts w:ascii="標楷體" w:eastAsia="標楷體" w:hAnsi="標楷體" w:cs="新細明體"/>
          <w:kern w:val="0"/>
        </w:rPr>
      </w:pPr>
      <w:r w:rsidRPr="002C15A0">
        <w:rPr>
          <w:rFonts w:ascii="標楷體" w:eastAsia="標楷體" w:hAnsi="標楷體" w:cs="新細明體"/>
          <w:kern w:val="0"/>
        </w:rPr>
        <w:t>博士班資格考試分</w:t>
      </w:r>
      <w:r w:rsidRPr="002C15A0">
        <w:rPr>
          <w:rFonts w:ascii="標楷體" w:eastAsia="標楷體" w:hAnsi="標楷體" w:cs="新細明體" w:hint="eastAsia"/>
          <w:kern w:val="0"/>
        </w:rPr>
        <w:t>核電廠工程及核子科學與輻射應用兩</w:t>
      </w:r>
      <w:r w:rsidRPr="002C15A0">
        <w:rPr>
          <w:rFonts w:ascii="標楷體" w:eastAsia="標楷體" w:hAnsi="標楷體" w:cs="新細明體"/>
          <w:kern w:val="0"/>
        </w:rPr>
        <w:t xml:space="preserve">組。各組考試科目為： </w:t>
      </w:r>
    </w:p>
    <w:p w:rsidR="00BF7FBC" w:rsidRPr="002C15A0" w:rsidRDefault="00BF7FBC" w:rsidP="00DF5AE3">
      <w:pPr>
        <w:widowControl/>
        <w:numPr>
          <w:ilvl w:val="2"/>
          <w:numId w:val="2"/>
        </w:numPr>
        <w:shd w:val="clear" w:color="auto" w:fill="FFFFFF"/>
        <w:spacing w:beforeLines="50"/>
        <w:rPr>
          <w:rFonts w:ascii="標楷體" w:eastAsia="標楷體" w:hAnsi="標楷體" w:cs="新細明體"/>
          <w:kern w:val="0"/>
        </w:rPr>
      </w:pPr>
      <w:r w:rsidRPr="002C15A0">
        <w:rPr>
          <w:rFonts w:ascii="標楷體" w:eastAsia="標楷體" w:hAnsi="標楷體" w:cs="新細明體" w:hint="eastAsia"/>
          <w:kern w:val="0"/>
        </w:rPr>
        <w:t>核電廠工程：</w:t>
      </w:r>
    </w:p>
    <w:p w:rsidR="00BF7FBC" w:rsidRPr="00DF5AE3" w:rsidRDefault="00BF7FBC" w:rsidP="00DF5AE3">
      <w:pPr>
        <w:widowControl/>
        <w:shd w:val="clear" w:color="auto" w:fill="FFFFFF"/>
        <w:spacing w:beforeLines="50"/>
        <w:ind w:leftChars="599" w:left="1438"/>
        <w:rPr>
          <w:rFonts w:ascii="標楷體" w:eastAsia="標楷體" w:hAnsi="標楷體" w:cs="新細明體"/>
          <w:kern w:val="0"/>
        </w:rPr>
      </w:pPr>
      <w:r w:rsidRPr="002C15A0">
        <w:rPr>
          <w:rFonts w:ascii="標楷體" w:eastAsia="標楷體" w:hAnsi="標楷體" w:cs="新細明體"/>
          <w:kern w:val="0"/>
        </w:rPr>
        <w:t>反應器物理</w:t>
      </w:r>
      <w:r w:rsidRPr="002C15A0">
        <w:rPr>
          <w:rFonts w:ascii="標楷體" w:eastAsia="標楷體" w:hAnsi="標楷體" w:cs="新細明體" w:hint="eastAsia"/>
          <w:kern w:val="0"/>
        </w:rPr>
        <w:t>一</w:t>
      </w:r>
      <w:r w:rsidRPr="002C15A0">
        <w:rPr>
          <w:rFonts w:ascii="標楷體" w:eastAsia="標楷體" w:hAnsi="標楷體" w:cs="新細明體"/>
          <w:kern w:val="0"/>
        </w:rPr>
        <w:t>、反應器物理</w:t>
      </w:r>
      <w:r w:rsidRPr="002C15A0">
        <w:rPr>
          <w:rFonts w:ascii="標楷體" w:eastAsia="標楷體" w:hAnsi="標楷體" w:cs="新細明體" w:hint="eastAsia"/>
          <w:kern w:val="0"/>
        </w:rPr>
        <w:t>二、</w:t>
      </w:r>
      <w:r w:rsidRPr="002C15A0">
        <w:rPr>
          <w:rFonts w:ascii="標楷體" w:eastAsia="標楷體" w:hAnsi="標楷體" w:cs="新細明體"/>
          <w:kern w:val="0"/>
        </w:rPr>
        <w:t>輻射</w:t>
      </w:r>
      <w:proofErr w:type="gramStart"/>
      <w:r w:rsidRPr="002C15A0">
        <w:rPr>
          <w:rFonts w:ascii="標楷體" w:eastAsia="標楷體" w:hAnsi="標楷體" w:cs="新細明體"/>
          <w:kern w:val="0"/>
        </w:rPr>
        <w:t>屏蔽</w:t>
      </w:r>
      <w:r w:rsidRPr="002C15A0">
        <w:rPr>
          <w:rFonts w:ascii="標楷體" w:eastAsia="標楷體" w:hAnsi="標楷體" w:cs="新細明體" w:hint="eastAsia"/>
          <w:kern w:val="0"/>
        </w:rPr>
        <w:t>、</w:t>
      </w:r>
      <w:proofErr w:type="gramEnd"/>
      <w:r w:rsidRPr="002C15A0">
        <w:rPr>
          <w:rFonts w:ascii="標楷體" w:eastAsia="標楷體" w:hAnsi="標楷體" w:cs="新細明體"/>
          <w:kern w:val="0"/>
        </w:rPr>
        <w:t>反應器工程</w:t>
      </w:r>
      <w:r w:rsidRPr="002C15A0">
        <w:rPr>
          <w:rFonts w:ascii="標楷體" w:eastAsia="標楷體" w:hAnsi="標楷體" w:cs="新細明體" w:hint="eastAsia"/>
          <w:kern w:val="0"/>
        </w:rPr>
        <w:t>、高等熱流學、</w:t>
      </w:r>
      <w:proofErr w:type="gramStart"/>
      <w:r w:rsidRPr="002C15A0">
        <w:rPr>
          <w:rFonts w:ascii="標楷體" w:eastAsia="標楷體" w:hAnsi="標楷體" w:cs="新細明體" w:hint="eastAsia"/>
          <w:kern w:val="0"/>
        </w:rPr>
        <w:t>雙相流與沸</w:t>
      </w:r>
      <w:r w:rsidRPr="00DF5AE3">
        <w:rPr>
          <w:rFonts w:ascii="標楷體" w:eastAsia="標楷體" w:hAnsi="標楷體" w:cs="新細明體" w:hint="eastAsia"/>
          <w:kern w:val="0"/>
        </w:rPr>
        <w:t>騰熱傳</w:t>
      </w:r>
      <w:proofErr w:type="gramEnd"/>
      <w:r w:rsidRPr="00DF5AE3">
        <w:rPr>
          <w:rFonts w:ascii="標楷體" w:eastAsia="標楷體" w:hAnsi="標楷體" w:cs="新細明體" w:hint="eastAsia"/>
          <w:kern w:val="0"/>
        </w:rPr>
        <w:t>、應用原子核物理、核能結構材料、</w:t>
      </w:r>
      <w:r w:rsidRPr="00DF5AE3">
        <w:rPr>
          <w:rFonts w:ascii="標楷體" w:eastAsia="標楷體" w:hAnsi="標楷體" w:hint="eastAsia"/>
        </w:rPr>
        <w:t>材料輻射損傷、反應器動力學</w:t>
      </w:r>
      <w:r w:rsidR="00E007C4" w:rsidRPr="00DF5AE3">
        <w:rPr>
          <w:rFonts w:ascii="標楷體" w:eastAsia="標楷體" w:hAnsi="標楷體" w:hint="eastAsia"/>
        </w:rPr>
        <w:t>、核電廠水化學</w:t>
      </w:r>
    </w:p>
    <w:p w:rsidR="00BF7FBC" w:rsidRPr="00DF5AE3" w:rsidRDefault="00BF7FBC" w:rsidP="00DF5AE3">
      <w:pPr>
        <w:widowControl/>
        <w:numPr>
          <w:ilvl w:val="2"/>
          <w:numId w:val="3"/>
        </w:numPr>
        <w:shd w:val="clear" w:color="auto" w:fill="FFFFFF"/>
        <w:spacing w:beforeLines="100"/>
        <w:rPr>
          <w:rFonts w:ascii="標楷體" w:eastAsia="標楷體" w:hAnsi="標楷體" w:cs="新細明體"/>
          <w:kern w:val="0"/>
        </w:rPr>
      </w:pPr>
      <w:r w:rsidRPr="00DF5AE3">
        <w:rPr>
          <w:rFonts w:ascii="標楷體" w:eastAsia="標楷體" w:hAnsi="標楷體" w:cs="新細明體" w:hint="eastAsia"/>
          <w:kern w:val="0"/>
        </w:rPr>
        <w:t>核子科學與輻射應用</w:t>
      </w:r>
      <w:r w:rsidRPr="00DF5AE3">
        <w:rPr>
          <w:rFonts w:ascii="標楷體" w:eastAsia="標楷體" w:hAnsi="標楷體" w:cs="新細明體"/>
          <w:kern w:val="0"/>
        </w:rPr>
        <w:t>：</w:t>
      </w:r>
    </w:p>
    <w:p w:rsidR="00BF7FBC" w:rsidRPr="00DF5AE3" w:rsidRDefault="00BF7FBC" w:rsidP="00DF5AE3">
      <w:pPr>
        <w:widowControl/>
        <w:shd w:val="clear" w:color="auto" w:fill="FFFFFF"/>
        <w:spacing w:beforeLines="50"/>
        <w:ind w:leftChars="600" w:left="1440"/>
        <w:rPr>
          <w:rFonts w:ascii="標楷體" w:eastAsia="標楷體" w:hAnsi="標楷體" w:cs="新細明體"/>
          <w:kern w:val="0"/>
        </w:rPr>
      </w:pPr>
      <w:r w:rsidRPr="00DF5AE3">
        <w:rPr>
          <w:rFonts w:ascii="標楷體" w:eastAsia="標楷體" w:hAnsi="標楷體" w:cs="新細明體"/>
          <w:kern w:val="0"/>
        </w:rPr>
        <w:t>輻射</w:t>
      </w:r>
      <w:proofErr w:type="gramStart"/>
      <w:r w:rsidRPr="00DF5AE3">
        <w:rPr>
          <w:rFonts w:ascii="標楷體" w:eastAsia="標楷體" w:hAnsi="標楷體" w:cs="新細明體"/>
          <w:kern w:val="0"/>
        </w:rPr>
        <w:t>屏蔽、</w:t>
      </w:r>
      <w:proofErr w:type="gramEnd"/>
      <w:r w:rsidR="00E007C4" w:rsidRPr="00DF5AE3">
        <w:rPr>
          <w:rFonts w:ascii="標楷體" w:eastAsia="標楷體" w:hAnsi="標楷體" w:cs="新細明體" w:hint="eastAsia"/>
          <w:kern w:val="0"/>
        </w:rPr>
        <w:t>蒙特</w:t>
      </w:r>
      <w:r w:rsidRPr="00DF5AE3">
        <w:rPr>
          <w:rFonts w:ascii="標楷體" w:eastAsia="標楷體" w:hAnsi="標楷體" w:cs="新細明體" w:hint="eastAsia"/>
          <w:kern w:val="0"/>
        </w:rPr>
        <w:t>卡羅計算、放射線與物質作用、保健物理、電漿物理、</w:t>
      </w:r>
      <w:r w:rsidRPr="00DF5AE3">
        <w:rPr>
          <w:rFonts w:ascii="標楷體" w:eastAsia="標楷體" w:hAnsi="標楷體" w:hint="eastAsia"/>
        </w:rPr>
        <w:t>輻射生物</w:t>
      </w:r>
      <w:r w:rsidR="00E007C4" w:rsidRPr="00DF5AE3">
        <w:rPr>
          <w:rFonts w:ascii="標楷體" w:eastAsia="標楷體" w:hAnsi="標楷體" w:hint="eastAsia"/>
        </w:rPr>
        <w:t>學</w:t>
      </w:r>
      <w:r w:rsidRPr="00DF5AE3">
        <w:rPr>
          <w:rFonts w:ascii="標楷體" w:eastAsia="標楷體" w:hAnsi="標楷體" w:hint="eastAsia"/>
        </w:rPr>
        <w:t>、</w:t>
      </w:r>
      <w:r w:rsidR="00E007C4" w:rsidRPr="00DF5AE3">
        <w:rPr>
          <w:rFonts w:ascii="標楷體" w:eastAsia="標楷體" w:hAnsi="標楷體" w:hint="eastAsia"/>
        </w:rPr>
        <w:t>輻射度量</w:t>
      </w:r>
      <w:r w:rsidRPr="00DF5AE3">
        <w:rPr>
          <w:rFonts w:ascii="標楷體" w:eastAsia="標楷體" w:hAnsi="標楷體" w:cs="新細明體" w:hint="eastAsia"/>
          <w:kern w:val="0"/>
        </w:rPr>
        <w:t>、醫學物理、放射</w:t>
      </w:r>
      <w:proofErr w:type="gramStart"/>
      <w:r w:rsidRPr="00DF5AE3">
        <w:rPr>
          <w:rFonts w:ascii="標楷體" w:eastAsia="標楷體" w:hAnsi="標楷體" w:cs="新細明體" w:hint="eastAsia"/>
          <w:kern w:val="0"/>
        </w:rPr>
        <w:t>化學特論</w:t>
      </w:r>
      <w:proofErr w:type="gramEnd"/>
      <w:r w:rsidR="00600DF0" w:rsidRPr="00DF5AE3">
        <w:rPr>
          <w:rFonts w:ascii="標楷體" w:eastAsia="標楷體" w:hAnsi="標楷體" w:cs="新細明體" w:hint="eastAsia"/>
          <w:kern w:val="0"/>
        </w:rPr>
        <w:t>、</w:t>
      </w:r>
      <w:r w:rsidR="00205A9D" w:rsidRPr="00DF5AE3">
        <w:rPr>
          <w:rFonts w:ascii="標楷體" w:eastAsia="標楷體" w:hAnsi="標楷體" w:cs="新細明體" w:hint="eastAsia"/>
          <w:kern w:val="0"/>
        </w:rPr>
        <w:t>輻射劑量學</w:t>
      </w:r>
      <w:r w:rsidRPr="00DF5AE3">
        <w:rPr>
          <w:rFonts w:ascii="標楷體" w:eastAsia="標楷體" w:hAnsi="標楷體" w:cs="新細明體" w:hint="eastAsia"/>
          <w:kern w:val="0"/>
        </w:rPr>
        <w:t>。</w:t>
      </w:r>
    </w:p>
    <w:p w:rsidR="00092814" w:rsidRPr="00DF5AE3" w:rsidRDefault="00BF7FBC" w:rsidP="00DF5AE3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Lines="50" w:after="100" w:afterAutospacing="1"/>
        <w:ind w:left="567" w:hanging="567"/>
        <w:rPr>
          <w:rFonts w:ascii="標楷體" w:eastAsia="標楷體" w:hAnsi="新細明體" w:cs="新細明體"/>
          <w:kern w:val="0"/>
          <w:szCs w:val="18"/>
        </w:rPr>
      </w:pPr>
      <w:r w:rsidRPr="00DF5AE3">
        <w:rPr>
          <w:rFonts w:ascii="標楷體" w:eastAsia="標楷體" w:hAnsi="新細明體" w:cs="新細明體"/>
          <w:kern w:val="0"/>
          <w:szCs w:val="18"/>
        </w:rPr>
        <w:t>學生應自上述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兩</w:t>
      </w:r>
      <w:r w:rsidRPr="00DF5AE3">
        <w:rPr>
          <w:rFonts w:ascii="標楷體" w:eastAsia="標楷體" w:hAnsi="新細明體" w:cs="新細明體"/>
          <w:kern w:val="0"/>
          <w:szCs w:val="18"/>
        </w:rPr>
        <w:t>組中</w:t>
      </w:r>
      <w:r w:rsidR="00600DF0" w:rsidRPr="00DF5AE3">
        <w:rPr>
          <w:rFonts w:ascii="標楷體" w:eastAsia="標楷體" w:hAnsi="新細明體" w:cs="新細明體" w:hint="eastAsia"/>
          <w:kern w:val="0"/>
          <w:szCs w:val="18"/>
        </w:rPr>
        <w:t>各</w:t>
      </w:r>
      <w:r w:rsidRPr="00DF5AE3">
        <w:rPr>
          <w:rFonts w:ascii="標楷體" w:eastAsia="標楷體" w:hAnsi="新細明體" w:cs="新細明體"/>
          <w:kern w:val="0"/>
          <w:szCs w:val="18"/>
        </w:rPr>
        <w:t>選考</w:t>
      </w:r>
      <w:proofErr w:type="gramStart"/>
      <w:r w:rsidR="00600DF0" w:rsidRPr="00DF5AE3">
        <w:rPr>
          <w:rFonts w:ascii="標楷體" w:eastAsia="標楷體" w:hAnsi="新細明體" w:cs="新細明體" w:hint="eastAsia"/>
          <w:kern w:val="0"/>
          <w:szCs w:val="18"/>
        </w:rPr>
        <w:t>一</w:t>
      </w:r>
      <w:proofErr w:type="gramEnd"/>
      <w:r w:rsidRPr="00DF5AE3">
        <w:rPr>
          <w:rFonts w:ascii="標楷體" w:eastAsia="標楷體" w:hAnsi="新細明體" w:cs="新細明體"/>
          <w:kern w:val="0"/>
          <w:szCs w:val="18"/>
        </w:rPr>
        <w:t>科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，共</w:t>
      </w:r>
      <w:r w:rsidR="00600DF0" w:rsidRPr="00DF5AE3">
        <w:rPr>
          <w:rFonts w:ascii="標楷體" w:eastAsia="標楷體" w:hAnsi="新細明體" w:cs="新細明體" w:hint="eastAsia"/>
          <w:kern w:val="0"/>
          <w:szCs w:val="18"/>
        </w:rPr>
        <w:t>兩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科</w:t>
      </w:r>
      <w:r w:rsidRPr="00DF5AE3">
        <w:rPr>
          <w:rFonts w:ascii="標楷體" w:eastAsia="標楷體" w:hAnsi="新細明體" w:cs="新細明體"/>
          <w:kern w:val="0"/>
          <w:szCs w:val="18"/>
        </w:rPr>
        <w:t>，且繳交</w:t>
      </w:r>
      <w:hyperlink r:id="rId7" w:history="1">
        <w:r w:rsidR="003F3A3C" w:rsidRPr="00DF5AE3">
          <w:rPr>
            <w:rFonts w:ascii="標楷體" w:eastAsia="標楷體" w:hAnsi="新細明體" w:cs="新細明體" w:hint="eastAsia"/>
            <w:kern w:val="0"/>
          </w:rPr>
          <w:t>考</w:t>
        </w:r>
        <w:r w:rsidRPr="00DF5AE3">
          <w:rPr>
            <w:rFonts w:ascii="標楷體" w:eastAsia="標楷體" w:hAnsi="新細明體" w:cs="新細明體"/>
            <w:kern w:val="0"/>
          </w:rPr>
          <w:t>試申請書</w:t>
        </w:r>
      </w:hyperlink>
      <w:r w:rsidR="003F3A3C" w:rsidRPr="00DF5AE3">
        <w:rPr>
          <w:rFonts w:ascii="標楷體" w:eastAsia="標楷體" w:hAnsi="新細明體" w:cs="新細明體" w:hint="eastAsia"/>
          <w:kern w:val="0"/>
          <w:szCs w:val="18"/>
        </w:rPr>
        <w:t>。資格考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試</w:t>
      </w:r>
      <w:r w:rsidR="00600DF0" w:rsidRPr="00DF5AE3">
        <w:rPr>
          <w:rFonts w:ascii="標楷體" w:eastAsia="標楷體" w:hAnsi="新細明體" w:cs="新細明體"/>
          <w:kern w:val="0"/>
          <w:szCs w:val="18"/>
        </w:rPr>
        <w:t>每科通過成績不得低於七十分</w:t>
      </w:r>
      <w:r w:rsidR="00092814" w:rsidRPr="00DF5AE3">
        <w:rPr>
          <w:rFonts w:ascii="標楷體" w:eastAsia="標楷體" w:hAnsi="新細明體" w:cs="新細明體" w:hint="eastAsia"/>
          <w:kern w:val="0"/>
          <w:szCs w:val="18"/>
        </w:rPr>
        <w:t>。</w:t>
      </w:r>
      <w:r w:rsidR="00600DF0" w:rsidRPr="00DF5AE3">
        <w:rPr>
          <w:rFonts w:ascii="標楷體" w:eastAsia="標楷體" w:hAnsi="新細明體" w:cs="新細明體"/>
          <w:kern w:val="0"/>
          <w:szCs w:val="18"/>
        </w:rPr>
        <w:t>如未通過課程與研究計</w:t>
      </w:r>
      <w:r w:rsidR="00600DF0" w:rsidRPr="00DF5AE3">
        <w:rPr>
          <w:rFonts w:ascii="標楷體" w:eastAsia="標楷體" w:hAnsi="新細明體" w:cs="新細明體" w:hint="eastAsia"/>
          <w:kern w:val="0"/>
          <w:szCs w:val="18"/>
        </w:rPr>
        <w:t>畫</w:t>
      </w:r>
      <w:r w:rsidRPr="00DF5AE3">
        <w:rPr>
          <w:rFonts w:ascii="標楷體" w:eastAsia="標楷體" w:hAnsi="新細明體" w:cs="新細明體"/>
          <w:kern w:val="0"/>
          <w:szCs w:val="18"/>
        </w:rPr>
        <w:t>書審查者，於申請資格考試時，需同時繳交該計</w:t>
      </w:r>
      <w:r w:rsidR="00600DF0" w:rsidRPr="00DF5AE3">
        <w:rPr>
          <w:rFonts w:ascii="標楷體" w:eastAsia="標楷體" w:hAnsi="新細明體" w:cs="新細明體" w:hint="eastAsia"/>
          <w:kern w:val="0"/>
          <w:szCs w:val="18"/>
        </w:rPr>
        <w:t>畫</w:t>
      </w:r>
      <w:r w:rsidRPr="00DF5AE3">
        <w:rPr>
          <w:rFonts w:ascii="標楷體" w:eastAsia="標楷體" w:hAnsi="新細明體" w:cs="新細明體"/>
          <w:kern w:val="0"/>
          <w:szCs w:val="18"/>
        </w:rPr>
        <w:t xml:space="preserve">書。 </w:t>
      </w:r>
    </w:p>
    <w:p w:rsidR="00092814" w:rsidRPr="00DF5AE3" w:rsidRDefault="00092814" w:rsidP="00DF5AE3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Lines="50" w:after="100" w:afterAutospacing="1"/>
        <w:ind w:left="567" w:hanging="567"/>
        <w:rPr>
          <w:rFonts w:ascii="標楷體" w:eastAsia="標楷體" w:hAnsi="新細明體" w:cs="新細明體"/>
          <w:kern w:val="0"/>
          <w:szCs w:val="18"/>
        </w:rPr>
      </w:pPr>
      <w:r w:rsidRPr="00DF5AE3">
        <w:rPr>
          <w:rFonts w:ascii="標楷體" w:eastAsia="標楷體" w:hAnsi="標楷體" w:hint="eastAsia"/>
        </w:rPr>
        <w:t>資格考試可以</w:t>
      </w:r>
      <w:proofErr w:type="gramStart"/>
      <w:r w:rsidRPr="00DF5AE3">
        <w:rPr>
          <w:rFonts w:ascii="標楷體" w:eastAsia="標楷體" w:hAnsi="標楷體" w:hint="eastAsia"/>
        </w:rPr>
        <w:t>修習與上述</w:t>
      </w:r>
      <w:proofErr w:type="gramEnd"/>
      <w:r w:rsidRPr="00DF5AE3">
        <w:rPr>
          <w:rFonts w:ascii="標楷體" w:eastAsia="標楷體" w:hAnsi="標楷體" w:hint="eastAsia"/>
        </w:rPr>
        <w:t>同名課程方式進行抵免，規定如下：學生修課成績等級A以上、且成績排名在該課程前1/2(含)時 (</w:t>
      </w:r>
      <w:proofErr w:type="gramStart"/>
      <w:r w:rsidRPr="00DF5AE3">
        <w:rPr>
          <w:rFonts w:ascii="標楷體" w:eastAsia="標楷體" w:hAnsi="標楷體" w:hint="eastAsia"/>
        </w:rPr>
        <w:t>註</w:t>
      </w:r>
      <w:proofErr w:type="gramEnd"/>
      <w:r w:rsidRPr="00DF5AE3">
        <w:rPr>
          <w:rFonts w:ascii="標楷體" w:eastAsia="標楷體" w:hAnsi="標楷體" w:hint="eastAsia"/>
        </w:rPr>
        <w:t>:修課人數需達5人以上(含)。若名次難以判斷時，請授課教師提出說明送課程委員會審查)，可抵免該科筆試；</w:t>
      </w:r>
      <w:proofErr w:type="gramStart"/>
      <w:r w:rsidRPr="00DF5AE3">
        <w:rPr>
          <w:rFonts w:ascii="標楷體" w:eastAsia="標楷體" w:hAnsi="標楷體" w:hint="eastAsia"/>
        </w:rPr>
        <w:t>惟修課</w:t>
      </w:r>
      <w:proofErr w:type="gramEnd"/>
      <w:r w:rsidRPr="00DF5AE3">
        <w:rPr>
          <w:rFonts w:ascii="標楷體" w:eastAsia="標楷體" w:hAnsi="標楷體" w:hint="eastAsia"/>
        </w:rPr>
        <w:t>時間不得早於入學前五年。修課</w:t>
      </w:r>
      <w:proofErr w:type="gramStart"/>
      <w:r w:rsidRPr="00DF5AE3">
        <w:rPr>
          <w:rFonts w:ascii="標楷體" w:eastAsia="標楷體" w:hAnsi="標楷體" w:hint="eastAsia"/>
        </w:rPr>
        <w:t>成績欲抵免</w:t>
      </w:r>
      <w:proofErr w:type="gramEnd"/>
      <w:r w:rsidRPr="00DF5AE3">
        <w:rPr>
          <w:rFonts w:ascii="標楷體" w:eastAsia="標楷體" w:hAnsi="標楷體" w:hint="eastAsia"/>
        </w:rPr>
        <w:t>考試，至多可申請重複修讀一次，學分不得重複計算，且需符合第四點通過資格考筆試年限之規定。</w:t>
      </w:r>
    </w:p>
    <w:p w:rsidR="00345578" w:rsidRPr="00DF5AE3" w:rsidRDefault="00BF7FBC" w:rsidP="00DF5AE3">
      <w:pPr>
        <w:widowControl/>
        <w:numPr>
          <w:ilvl w:val="0"/>
          <w:numId w:val="1"/>
        </w:numPr>
        <w:shd w:val="clear" w:color="auto" w:fill="FFFFFF"/>
        <w:tabs>
          <w:tab w:val="num" w:pos="567"/>
        </w:tabs>
        <w:spacing w:beforeLines="50" w:after="100" w:afterAutospacing="1"/>
        <w:ind w:left="476" w:hanging="476"/>
        <w:rPr>
          <w:rFonts w:ascii="標楷體" w:eastAsia="標楷體" w:hAnsi="新細明體" w:cs="新細明體"/>
          <w:kern w:val="0"/>
          <w:szCs w:val="18"/>
        </w:rPr>
      </w:pPr>
      <w:r w:rsidRPr="00DF5AE3">
        <w:rPr>
          <w:rFonts w:ascii="標楷體" w:eastAsia="標楷體" w:hAnsi="新細明體" w:cs="新細明體"/>
          <w:kern w:val="0"/>
          <w:szCs w:val="18"/>
        </w:rPr>
        <w:t>學生應於入學後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兩</w:t>
      </w:r>
      <w:r w:rsidRPr="00DF5AE3">
        <w:rPr>
          <w:rFonts w:ascii="標楷體" w:eastAsia="標楷體" w:hAnsi="新細明體" w:cs="新細明體"/>
          <w:kern w:val="0"/>
          <w:szCs w:val="18"/>
        </w:rPr>
        <w:t>學年內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(休學</w:t>
      </w:r>
      <w:r w:rsidR="00600DF0" w:rsidRPr="00DF5AE3">
        <w:rPr>
          <w:rFonts w:ascii="標楷體" w:eastAsia="標楷體" w:hAnsi="新細明體" w:cs="新細明體" w:hint="eastAsia"/>
          <w:kern w:val="0"/>
          <w:szCs w:val="18"/>
        </w:rPr>
        <w:t>或在國外研習時間</w:t>
      </w:r>
      <w:proofErr w:type="gramStart"/>
      <w:r w:rsidRPr="00DF5AE3">
        <w:rPr>
          <w:rFonts w:ascii="標楷體" w:eastAsia="標楷體" w:hAnsi="新細明體" w:cs="新細明體" w:hint="eastAsia"/>
          <w:kern w:val="0"/>
          <w:szCs w:val="18"/>
        </w:rPr>
        <w:t>不予計</w:t>
      </w:r>
      <w:proofErr w:type="gramEnd"/>
      <w:r w:rsidRPr="00DF5AE3">
        <w:rPr>
          <w:rFonts w:ascii="標楷體" w:eastAsia="標楷體" w:hAnsi="新細明體" w:cs="新細明體" w:hint="eastAsia"/>
          <w:kern w:val="0"/>
          <w:szCs w:val="18"/>
        </w:rPr>
        <w:t>入)</w:t>
      </w:r>
      <w:r w:rsidRPr="00DF5AE3">
        <w:rPr>
          <w:rFonts w:ascii="標楷體" w:eastAsia="標楷體" w:hAnsi="新細明體" w:cs="新細明體"/>
          <w:kern w:val="0"/>
          <w:szCs w:val="18"/>
        </w:rPr>
        <w:t>通過</w:t>
      </w:r>
      <w:r w:rsidR="003F3A3C" w:rsidRPr="00DF5AE3">
        <w:rPr>
          <w:rFonts w:ascii="標楷體" w:eastAsia="標楷體" w:hAnsi="新細明體" w:cs="新細明體" w:hint="eastAsia"/>
          <w:kern w:val="0"/>
          <w:szCs w:val="18"/>
        </w:rPr>
        <w:t>考</w:t>
      </w:r>
      <w:r w:rsidRPr="00DF5AE3">
        <w:rPr>
          <w:rFonts w:ascii="標楷體" w:eastAsia="標楷體" w:hAnsi="新細明體" w:cs="新細明體"/>
          <w:kern w:val="0"/>
          <w:szCs w:val="18"/>
        </w:rPr>
        <w:t>試，未通過者，予以退學。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校</w:t>
      </w:r>
      <w:proofErr w:type="gramStart"/>
      <w:r w:rsidRPr="00DF5AE3">
        <w:rPr>
          <w:rFonts w:ascii="標楷體" w:eastAsia="標楷體" w:hAnsi="新細明體" w:cs="新細明體" w:hint="eastAsia"/>
          <w:kern w:val="0"/>
          <w:szCs w:val="18"/>
        </w:rPr>
        <w:t>內轉所生</w:t>
      </w:r>
      <w:proofErr w:type="gramEnd"/>
      <w:r w:rsidR="003F3A3C" w:rsidRPr="00DF5AE3">
        <w:rPr>
          <w:rFonts w:ascii="標楷體" w:eastAsia="標楷體" w:hAnsi="新細明體" w:cs="新細明體" w:hint="eastAsia"/>
          <w:kern w:val="0"/>
          <w:szCs w:val="18"/>
        </w:rPr>
        <w:t>考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試通過年限得延後一學期，即入學兩年半內需通過</w:t>
      </w:r>
      <w:r w:rsidR="003F3A3C" w:rsidRPr="00DF5AE3">
        <w:rPr>
          <w:rFonts w:ascii="標楷體" w:eastAsia="標楷體" w:hAnsi="新細明體" w:cs="新細明體" w:hint="eastAsia"/>
          <w:kern w:val="0"/>
          <w:szCs w:val="18"/>
        </w:rPr>
        <w:t>考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試。</w:t>
      </w:r>
    </w:p>
    <w:p w:rsidR="00345578" w:rsidRDefault="00BF7FBC" w:rsidP="00DF5AE3">
      <w:pPr>
        <w:widowControl/>
        <w:numPr>
          <w:ilvl w:val="0"/>
          <w:numId w:val="1"/>
        </w:numPr>
        <w:shd w:val="clear" w:color="auto" w:fill="FFFFFF"/>
        <w:tabs>
          <w:tab w:val="num" w:pos="567"/>
        </w:tabs>
        <w:spacing w:beforeLines="50" w:after="100" w:afterAutospacing="1"/>
        <w:ind w:left="476" w:hanging="476"/>
        <w:rPr>
          <w:rFonts w:ascii="標楷體" w:eastAsia="標楷體" w:hAnsi="新細明體" w:cs="新細明體"/>
          <w:kern w:val="0"/>
          <w:szCs w:val="18"/>
        </w:rPr>
      </w:pPr>
      <w:r w:rsidRPr="00DF5AE3">
        <w:rPr>
          <w:rFonts w:ascii="標楷體" w:eastAsia="標楷體" w:hAnsi="新細明體" w:cs="新細明體"/>
          <w:kern w:val="0"/>
          <w:szCs w:val="18"/>
        </w:rPr>
        <w:t>學生第一次考試若有未通過之科目，可參加第二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次</w:t>
      </w:r>
      <w:r w:rsidRPr="00DF5AE3">
        <w:rPr>
          <w:rFonts w:ascii="標楷體" w:eastAsia="標楷體" w:hAnsi="新細明體" w:cs="新細明體"/>
          <w:kern w:val="0"/>
          <w:szCs w:val="18"/>
        </w:rPr>
        <w:t>考試</w:t>
      </w:r>
      <w:r w:rsidRPr="00DF5AE3">
        <w:rPr>
          <w:rFonts w:ascii="標楷體" w:eastAsia="標楷體" w:hAnsi="新細明體" w:cs="新細明體" w:hint="eastAsia"/>
          <w:kern w:val="0"/>
          <w:szCs w:val="18"/>
        </w:rPr>
        <w:t>；</w:t>
      </w:r>
      <w:r w:rsidRPr="00DF5AE3">
        <w:rPr>
          <w:rFonts w:ascii="標楷體" w:eastAsia="標楷體" w:hAnsi="新細明體" w:cs="新細明體"/>
          <w:kern w:val="0"/>
          <w:szCs w:val="18"/>
        </w:rPr>
        <w:t>若第二次</w:t>
      </w:r>
      <w:r w:rsidRPr="00345578">
        <w:rPr>
          <w:rFonts w:ascii="標楷體" w:eastAsia="標楷體" w:hAnsi="新細明體" w:cs="新細明體"/>
          <w:kern w:val="0"/>
          <w:szCs w:val="18"/>
        </w:rPr>
        <w:t>考試仍未通過，即予以退學。</w:t>
      </w:r>
    </w:p>
    <w:p w:rsidR="00345578" w:rsidRDefault="00BF7FBC" w:rsidP="00DF5AE3">
      <w:pPr>
        <w:widowControl/>
        <w:numPr>
          <w:ilvl w:val="0"/>
          <w:numId w:val="1"/>
        </w:numPr>
        <w:shd w:val="clear" w:color="auto" w:fill="FFFFFF"/>
        <w:tabs>
          <w:tab w:val="num" w:pos="567"/>
        </w:tabs>
        <w:spacing w:beforeLines="50" w:after="100" w:afterAutospacing="1"/>
        <w:ind w:left="476" w:hanging="476"/>
        <w:rPr>
          <w:rFonts w:ascii="標楷體" w:eastAsia="標楷體" w:hAnsi="新細明體" w:cs="新細明體"/>
          <w:kern w:val="0"/>
          <w:szCs w:val="18"/>
        </w:rPr>
      </w:pPr>
      <w:r w:rsidRPr="00345578">
        <w:rPr>
          <w:rFonts w:ascii="標楷體" w:eastAsia="標楷體" w:hAnsi="新細明體" w:cs="新細明體"/>
          <w:kern w:val="0"/>
          <w:szCs w:val="18"/>
        </w:rPr>
        <w:t>資格考一旦向</w:t>
      </w:r>
      <w:r w:rsidRPr="00345578">
        <w:rPr>
          <w:rFonts w:ascii="標楷體" w:eastAsia="標楷體" w:hAnsi="新細明體" w:cs="新細明體" w:hint="eastAsia"/>
          <w:kern w:val="0"/>
          <w:szCs w:val="18"/>
        </w:rPr>
        <w:t>所</w:t>
      </w:r>
      <w:r w:rsidRPr="00345578">
        <w:rPr>
          <w:rFonts w:ascii="標楷體" w:eastAsia="標楷體" w:hAnsi="新細明體" w:cs="新細明體"/>
          <w:kern w:val="0"/>
          <w:szCs w:val="18"/>
        </w:rPr>
        <w:t>辦公室登記參加，</w:t>
      </w:r>
      <w:r w:rsidRPr="00345578">
        <w:rPr>
          <w:rFonts w:ascii="標楷體" w:eastAsia="標楷體" w:hAnsi="新細明體" w:cs="新細明體" w:hint="eastAsia"/>
          <w:kern w:val="0"/>
          <w:szCs w:val="18"/>
        </w:rPr>
        <w:t>考前一</w:t>
      </w:r>
      <w:proofErr w:type="gramStart"/>
      <w:r w:rsidRPr="00345578">
        <w:rPr>
          <w:rFonts w:ascii="標楷體" w:eastAsia="標楷體" w:hAnsi="新細明體" w:cs="新細明體" w:hint="eastAsia"/>
          <w:kern w:val="0"/>
          <w:szCs w:val="18"/>
        </w:rPr>
        <w:t>週</w:t>
      </w:r>
      <w:proofErr w:type="gramEnd"/>
      <w:r w:rsidRPr="00345578">
        <w:rPr>
          <w:rFonts w:ascii="標楷體" w:eastAsia="標楷體" w:hAnsi="新細明體" w:cs="新細明體" w:hint="eastAsia"/>
          <w:kern w:val="0"/>
          <w:szCs w:val="18"/>
        </w:rPr>
        <w:t>即</w:t>
      </w:r>
      <w:r w:rsidRPr="00345578">
        <w:rPr>
          <w:rFonts w:ascii="標楷體" w:eastAsia="標楷體" w:hAnsi="新細明體" w:cs="新細明體"/>
          <w:kern w:val="0"/>
          <w:szCs w:val="18"/>
        </w:rPr>
        <w:t>不可以要求退出</w:t>
      </w:r>
      <w:r w:rsidRPr="00345578">
        <w:rPr>
          <w:rFonts w:ascii="標楷體" w:eastAsia="標楷體" w:hAnsi="新細明體" w:cs="新細明體" w:hint="eastAsia"/>
          <w:kern w:val="0"/>
          <w:szCs w:val="18"/>
        </w:rPr>
        <w:t>，除有特殊理由者才可</w:t>
      </w:r>
      <w:proofErr w:type="gramStart"/>
      <w:r w:rsidRPr="00345578">
        <w:rPr>
          <w:rFonts w:ascii="標楷體" w:eastAsia="標楷體" w:hAnsi="新細明體" w:cs="新細明體" w:hint="eastAsia"/>
          <w:kern w:val="0"/>
          <w:szCs w:val="18"/>
        </w:rPr>
        <w:t>申請退考</w:t>
      </w:r>
      <w:proofErr w:type="gramEnd"/>
      <w:r w:rsidRPr="00345578">
        <w:rPr>
          <w:rFonts w:ascii="標楷體" w:eastAsia="標楷體" w:hAnsi="新細明體" w:cs="新細明體" w:hint="eastAsia"/>
          <w:kern w:val="0"/>
          <w:szCs w:val="18"/>
        </w:rPr>
        <w:t>。</w:t>
      </w:r>
      <w:r w:rsidRPr="00345578">
        <w:rPr>
          <w:rFonts w:ascii="標楷體" w:eastAsia="標楷體" w:hAnsi="新細明體" w:cs="新細明體"/>
          <w:kern w:val="0"/>
          <w:szCs w:val="18"/>
        </w:rPr>
        <w:t>如</w:t>
      </w:r>
      <w:r w:rsidRPr="00345578">
        <w:rPr>
          <w:rFonts w:ascii="標楷體" w:eastAsia="標楷體" w:hAnsi="新細明體" w:cs="新細明體" w:hint="eastAsia"/>
          <w:kern w:val="0"/>
          <w:szCs w:val="18"/>
        </w:rPr>
        <w:t>無故</w:t>
      </w:r>
      <w:r w:rsidRPr="00345578">
        <w:rPr>
          <w:rFonts w:ascii="標楷體" w:eastAsia="標楷體" w:hAnsi="新細明體" w:cs="新細明體"/>
          <w:kern w:val="0"/>
          <w:szCs w:val="18"/>
        </w:rPr>
        <w:t xml:space="preserve">未參加考試，便以零分計，該次考試且計入兩次機會中的一次。 </w:t>
      </w:r>
    </w:p>
    <w:p w:rsidR="00345578" w:rsidRDefault="00BF7FBC" w:rsidP="00DF5AE3">
      <w:pPr>
        <w:widowControl/>
        <w:numPr>
          <w:ilvl w:val="0"/>
          <w:numId w:val="1"/>
        </w:numPr>
        <w:shd w:val="clear" w:color="auto" w:fill="FFFFFF"/>
        <w:tabs>
          <w:tab w:val="num" w:pos="567"/>
        </w:tabs>
        <w:spacing w:beforeLines="50" w:after="100" w:afterAutospacing="1"/>
        <w:ind w:left="476" w:hanging="476"/>
        <w:rPr>
          <w:rFonts w:ascii="標楷體" w:eastAsia="標楷體" w:hAnsi="新細明體" w:cs="新細明體"/>
          <w:kern w:val="0"/>
          <w:szCs w:val="18"/>
        </w:rPr>
      </w:pPr>
      <w:r w:rsidRPr="00345578">
        <w:rPr>
          <w:rFonts w:ascii="標楷體" w:eastAsia="標楷體" w:hAnsi="新細明體" w:cs="新細明體"/>
          <w:kern w:val="0"/>
          <w:szCs w:val="18"/>
        </w:rPr>
        <w:t xml:space="preserve">學生擬參加資格考的學期，務必要註冊。休學中的學生不可以參加資格考。 </w:t>
      </w:r>
    </w:p>
    <w:p w:rsidR="00345578" w:rsidRDefault="00BF7FBC" w:rsidP="00DF5AE3">
      <w:pPr>
        <w:widowControl/>
        <w:numPr>
          <w:ilvl w:val="0"/>
          <w:numId w:val="1"/>
        </w:numPr>
        <w:shd w:val="clear" w:color="auto" w:fill="FFFFFF"/>
        <w:tabs>
          <w:tab w:val="num" w:pos="567"/>
        </w:tabs>
        <w:spacing w:beforeLines="50" w:after="100" w:afterAutospacing="1"/>
        <w:ind w:left="476" w:hanging="476"/>
        <w:rPr>
          <w:rFonts w:ascii="標楷體" w:eastAsia="標楷體" w:hAnsi="新細明體" w:cs="新細明體"/>
          <w:kern w:val="0"/>
          <w:szCs w:val="18"/>
        </w:rPr>
      </w:pPr>
      <w:r w:rsidRPr="00345578">
        <w:rPr>
          <w:rFonts w:ascii="標楷體" w:eastAsia="標楷體" w:hAnsi="新細明體" w:cs="新細明體" w:hint="eastAsia"/>
          <w:kern w:val="0"/>
          <w:szCs w:val="18"/>
        </w:rPr>
        <w:t>資格考試每學期舉辦一次。</w:t>
      </w:r>
    </w:p>
    <w:p w:rsidR="004177C6" w:rsidRPr="00345578" w:rsidRDefault="00BF7FBC" w:rsidP="00522EC8">
      <w:pPr>
        <w:widowControl/>
        <w:numPr>
          <w:ilvl w:val="0"/>
          <w:numId w:val="1"/>
        </w:numPr>
        <w:shd w:val="clear" w:color="auto" w:fill="FFFFFF"/>
        <w:tabs>
          <w:tab w:val="num" w:pos="567"/>
        </w:tabs>
        <w:spacing w:beforeLines="50" w:after="100" w:afterAutospacing="1"/>
        <w:ind w:left="476" w:hanging="476"/>
        <w:rPr>
          <w:rFonts w:ascii="標楷體" w:eastAsia="標楷體" w:hAnsi="新細明體" w:cs="新細明體"/>
          <w:kern w:val="0"/>
          <w:szCs w:val="18"/>
        </w:rPr>
      </w:pPr>
      <w:r w:rsidRPr="00345578">
        <w:rPr>
          <w:rFonts w:eastAsia="標楷體" w:hint="eastAsia"/>
          <w:kern w:val="0"/>
          <w:lang w:bidi="sa-IN"/>
        </w:rPr>
        <w:t>本規定經所</w:t>
      </w:r>
      <w:proofErr w:type="gramStart"/>
      <w:r w:rsidRPr="00345578">
        <w:rPr>
          <w:rFonts w:eastAsia="標楷體" w:hint="eastAsia"/>
          <w:kern w:val="0"/>
          <w:lang w:bidi="sa-IN"/>
        </w:rPr>
        <w:t>務</w:t>
      </w:r>
      <w:proofErr w:type="gramEnd"/>
      <w:r w:rsidRPr="00345578">
        <w:rPr>
          <w:rFonts w:eastAsia="標楷體" w:hint="eastAsia"/>
          <w:kern w:val="0"/>
          <w:lang w:bidi="sa-IN"/>
        </w:rPr>
        <w:t>會議通過後實施，修訂時亦同。</w:t>
      </w:r>
    </w:p>
    <w:sectPr w:rsidR="004177C6" w:rsidRPr="00345578" w:rsidSect="00E007C4">
      <w:pgSz w:w="12240" w:h="15840"/>
      <w:pgMar w:top="851" w:right="1418" w:bottom="709" w:left="1418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63" w:rsidRDefault="00607063" w:rsidP="00BB1BD5">
      <w:r>
        <w:separator/>
      </w:r>
    </w:p>
  </w:endnote>
  <w:endnote w:type="continuationSeparator" w:id="0">
    <w:p w:rsidR="00607063" w:rsidRDefault="00607063" w:rsidP="00BB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63" w:rsidRDefault="00607063" w:rsidP="00BB1BD5">
      <w:r>
        <w:separator/>
      </w:r>
    </w:p>
  </w:footnote>
  <w:footnote w:type="continuationSeparator" w:id="0">
    <w:p w:rsidR="00607063" w:rsidRDefault="00607063" w:rsidP="00BB1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592"/>
    <w:multiLevelType w:val="hybridMultilevel"/>
    <w:tmpl w:val="10C6EE52"/>
    <w:lvl w:ilvl="0" w:tplc="F2845952">
      <w:start w:val="3"/>
      <w:numFmt w:val="taiwaneseCountingThousand"/>
      <w:lvlText w:val="%1、"/>
      <w:lvlJc w:val="left"/>
      <w:pPr>
        <w:ind w:left="46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3A79"/>
    <w:multiLevelType w:val="hybridMultilevel"/>
    <w:tmpl w:val="F42E2FD4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C1A20132">
      <w:start w:val="1"/>
      <w:numFmt w:val="bullet"/>
      <w:lvlText w:val=""/>
      <w:lvlJc w:val="left"/>
      <w:pPr>
        <w:tabs>
          <w:tab w:val="num" w:pos="1247"/>
        </w:tabs>
        <w:ind w:left="1474" w:hanging="45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2">
    <w:nsid w:val="46FE39EC"/>
    <w:multiLevelType w:val="multilevel"/>
    <w:tmpl w:val="62720E9A"/>
    <w:lvl w:ilvl="0">
      <w:start w:val="1"/>
      <w:numFmt w:val="taiwaneseCountingThousand"/>
      <w:suff w:val="space"/>
      <w:lvlText w:val="%1、"/>
      <w:lvlJc w:val="left"/>
      <w:pPr>
        <w:ind w:left="680" w:hanging="680"/>
      </w:pPr>
      <w:rPr>
        <w:rFonts w:hint="eastAsia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57" w:hanging="737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77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97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17" w:hanging="737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37" w:hanging="737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57" w:hanging="737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77" w:hanging="737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97" w:hanging="737"/>
      </w:pPr>
      <w:rPr>
        <w:rFonts w:hint="eastAsia"/>
      </w:rPr>
    </w:lvl>
  </w:abstractNum>
  <w:abstractNum w:abstractNumId="3">
    <w:nsid w:val="480476B3"/>
    <w:multiLevelType w:val="hybridMultilevel"/>
    <w:tmpl w:val="1826DFE2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C1A20132">
      <w:start w:val="1"/>
      <w:numFmt w:val="bullet"/>
      <w:lvlText w:val=""/>
      <w:lvlJc w:val="left"/>
      <w:pPr>
        <w:tabs>
          <w:tab w:val="num" w:pos="1247"/>
        </w:tabs>
        <w:ind w:left="1474" w:hanging="45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7C6"/>
    <w:rsid w:val="0008450F"/>
    <w:rsid w:val="00092814"/>
    <w:rsid w:val="000A65E4"/>
    <w:rsid w:val="000D24AB"/>
    <w:rsid w:val="000E280A"/>
    <w:rsid w:val="000E3FA8"/>
    <w:rsid w:val="000F3E44"/>
    <w:rsid w:val="00126F90"/>
    <w:rsid w:val="00134FC5"/>
    <w:rsid w:val="00170A30"/>
    <w:rsid w:val="00175649"/>
    <w:rsid w:val="00175DE5"/>
    <w:rsid w:val="00205A9D"/>
    <w:rsid w:val="0022470B"/>
    <w:rsid w:val="00237254"/>
    <w:rsid w:val="0028790E"/>
    <w:rsid w:val="002C15A0"/>
    <w:rsid w:val="002F16E7"/>
    <w:rsid w:val="00314016"/>
    <w:rsid w:val="00327915"/>
    <w:rsid w:val="00335A1F"/>
    <w:rsid w:val="00345578"/>
    <w:rsid w:val="003626D0"/>
    <w:rsid w:val="003B16C4"/>
    <w:rsid w:val="003B3B0A"/>
    <w:rsid w:val="003B47AB"/>
    <w:rsid w:val="003D4E67"/>
    <w:rsid w:val="003F3A3C"/>
    <w:rsid w:val="00400C1A"/>
    <w:rsid w:val="004177C6"/>
    <w:rsid w:val="004D561E"/>
    <w:rsid w:val="00522EC8"/>
    <w:rsid w:val="00527E08"/>
    <w:rsid w:val="005E7A4D"/>
    <w:rsid w:val="005F6C06"/>
    <w:rsid w:val="00600DF0"/>
    <w:rsid w:val="00607063"/>
    <w:rsid w:val="00651264"/>
    <w:rsid w:val="00666836"/>
    <w:rsid w:val="006A0C1C"/>
    <w:rsid w:val="006C1920"/>
    <w:rsid w:val="006C46C2"/>
    <w:rsid w:val="007A0D61"/>
    <w:rsid w:val="007A119A"/>
    <w:rsid w:val="007A2708"/>
    <w:rsid w:val="00820F98"/>
    <w:rsid w:val="008437B2"/>
    <w:rsid w:val="008A454E"/>
    <w:rsid w:val="008D1B5D"/>
    <w:rsid w:val="008E572C"/>
    <w:rsid w:val="009B402D"/>
    <w:rsid w:val="00A77453"/>
    <w:rsid w:val="00AB02D8"/>
    <w:rsid w:val="00AF3B9C"/>
    <w:rsid w:val="00B2599C"/>
    <w:rsid w:val="00B45A39"/>
    <w:rsid w:val="00B60EE3"/>
    <w:rsid w:val="00B65C27"/>
    <w:rsid w:val="00BB1BD5"/>
    <w:rsid w:val="00BF28E9"/>
    <w:rsid w:val="00BF7FBC"/>
    <w:rsid w:val="00C2010B"/>
    <w:rsid w:val="00CC43B7"/>
    <w:rsid w:val="00D01FFA"/>
    <w:rsid w:val="00D36044"/>
    <w:rsid w:val="00D428C3"/>
    <w:rsid w:val="00D66473"/>
    <w:rsid w:val="00D765D1"/>
    <w:rsid w:val="00D82FE6"/>
    <w:rsid w:val="00D94113"/>
    <w:rsid w:val="00DC4D49"/>
    <w:rsid w:val="00DF5AE3"/>
    <w:rsid w:val="00E007C4"/>
    <w:rsid w:val="00E05CA3"/>
    <w:rsid w:val="00E208A4"/>
    <w:rsid w:val="00E21CB6"/>
    <w:rsid w:val="00EA0F0C"/>
    <w:rsid w:val="00EB12DA"/>
    <w:rsid w:val="00F25939"/>
    <w:rsid w:val="00F9533C"/>
    <w:rsid w:val="00FE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F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B1BD5"/>
    <w:rPr>
      <w:kern w:val="2"/>
    </w:rPr>
  </w:style>
  <w:style w:type="paragraph" w:styleId="a5">
    <w:name w:val="footer"/>
    <w:basedOn w:val="a"/>
    <w:link w:val="a6"/>
    <w:rsid w:val="00BB1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B1BD5"/>
    <w:rPr>
      <w:kern w:val="2"/>
    </w:rPr>
  </w:style>
  <w:style w:type="character" w:styleId="a7">
    <w:name w:val="annotation reference"/>
    <w:basedOn w:val="a0"/>
    <w:rsid w:val="008D1B5D"/>
    <w:rPr>
      <w:sz w:val="18"/>
      <w:szCs w:val="18"/>
    </w:rPr>
  </w:style>
  <w:style w:type="paragraph" w:styleId="a8">
    <w:name w:val="annotation text"/>
    <w:basedOn w:val="a"/>
    <w:link w:val="a9"/>
    <w:rsid w:val="008D1B5D"/>
  </w:style>
  <w:style w:type="character" w:customStyle="1" w:styleId="a9">
    <w:name w:val="註解文字 字元"/>
    <w:basedOn w:val="a0"/>
    <w:link w:val="a8"/>
    <w:rsid w:val="008D1B5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8D1B5D"/>
    <w:rPr>
      <w:b/>
      <w:bCs/>
    </w:rPr>
  </w:style>
  <w:style w:type="character" w:customStyle="1" w:styleId="ab">
    <w:name w:val="註解主旨 字元"/>
    <w:basedOn w:val="a9"/>
    <w:link w:val="aa"/>
    <w:rsid w:val="008D1B5D"/>
    <w:rPr>
      <w:b/>
      <w:bCs/>
    </w:rPr>
  </w:style>
  <w:style w:type="paragraph" w:styleId="ac">
    <w:name w:val="Balloon Text"/>
    <w:basedOn w:val="a"/>
    <w:link w:val="ad"/>
    <w:rsid w:val="008D1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8D1B5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9281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92814"/>
    <w:pPr>
      <w:widowControl/>
      <w:ind w:leftChars="200" w:left="480"/>
    </w:pPr>
    <w:rPr>
      <w:rFonts w:ascii="Calibri" w:hAnsi="Calibri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.nthu.edu.tw/tables/9406dqualif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Company>NES</Company>
  <LinksUpToDate>false</LinksUpToDate>
  <CharactersWithSpaces>1021</CharactersWithSpaces>
  <SharedDoc>false</SharedDoc>
  <HLinks>
    <vt:vector size="6" baseType="variant"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http://www.ess.nthu.edu.tw/tables/9406dqualify.doc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核子工程與科學研究所博士班資格考筆試規定</dc:title>
  <dc:creator>NES</dc:creator>
  <cp:lastModifiedBy>nes</cp:lastModifiedBy>
  <cp:revision>7</cp:revision>
  <cp:lastPrinted>2015-11-05T09:42:00Z</cp:lastPrinted>
  <dcterms:created xsi:type="dcterms:W3CDTF">2017-11-11T01:59:00Z</dcterms:created>
  <dcterms:modified xsi:type="dcterms:W3CDTF">2017-11-23T02:40:00Z</dcterms:modified>
</cp:coreProperties>
</file>